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18FE">
      <w:pPr>
        <w:jc w:val="center"/>
        <w:rPr>
          <w:rFonts w:ascii="Lucida Casual" w:hAnsi="Lucida Casual"/>
          <w:b/>
          <w:sz w:val="32"/>
        </w:rPr>
      </w:pPr>
      <w:r>
        <w:rPr>
          <w:rFonts w:ascii="Lucida Casual" w:hAnsi="Lucida Casual"/>
          <w:b/>
          <w:sz w:val="32"/>
        </w:rPr>
        <w:t>RISK ANALYSIS AND MANAGEMENT SYSTEM</w:t>
      </w:r>
    </w:p>
    <w:p w:rsidR="00000000" w:rsidRDefault="008618FE">
      <w:pPr>
        <w:jc w:val="center"/>
        <w:rPr>
          <w:rFonts w:ascii="Lucida Casual" w:hAnsi="Lucida Casual"/>
          <w:b/>
          <w:sz w:val="32"/>
        </w:rPr>
      </w:pPr>
    </w:p>
    <w:p w:rsidR="00000000" w:rsidRDefault="008618FE">
      <w:pPr>
        <w:rPr>
          <w:rFonts w:ascii="Lucida Casual" w:hAnsi="Lucida Casual"/>
          <w:i/>
          <w:sz w:val="24"/>
        </w:rPr>
      </w:pPr>
      <w:r>
        <w:rPr>
          <w:rFonts w:ascii="Lucida Casual" w:hAnsi="Lucida Casual"/>
          <w:b/>
          <w:sz w:val="24"/>
        </w:rPr>
        <w:t xml:space="preserve">ACTIVITY/SITUATION: Trip to the Coast: </w:t>
      </w:r>
      <w:r>
        <w:rPr>
          <w:rFonts w:ascii="Lucida Casual" w:hAnsi="Lucida Casual"/>
          <w:b/>
          <w:sz w:val="24"/>
        </w:rPr>
        <w:tab/>
      </w:r>
      <w:proofErr w:type="spellStart"/>
      <w:r>
        <w:rPr>
          <w:rFonts w:ascii="Lucida Casual" w:hAnsi="Lucida Casual"/>
          <w:i/>
          <w:sz w:val="24"/>
        </w:rPr>
        <w:t>Mangapohue</w:t>
      </w:r>
      <w:proofErr w:type="spellEnd"/>
      <w:r>
        <w:rPr>
          <w:rFonts w:ascii="Lucida Casual" w:hAnsi="Lucida Casual"/>
          <w:i/>
          <w:sz w:val="24"/>
        </w:rPr>
        <w:t xml:space="preserve"> Natural Bridge</w:t>
      </w:r>
    </w:p>
    <w:p w:rsidR="00000000" w:rsidRDefault="008618FE">
      <w:pPr>
        <w:rPr>
          <w:rFonts w:ascii="Lucida Casual" w:hAnsi="Lucida Casual"/>
          <w:i/>
          <w:sz w:val="24"/>
        </w:rPr>
      </w:pP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proofErr w:type="spellStart"/>
      <w:r>
        <w:rPr>
          <w:rFonts w:ascii="Lucida Casual" w:hAnsi="Lucida Casual"/>
          <w:i/>
          <w:sz w:val="24"/>
        </w:rPr>
        <w:t>Marokopa</w:t>
      </w:r>
      <w:proofErr w:type="spellEnd"/>
      <w:r>
        <w:rPr>
          <w:rFonts w:ascii="Lucida Casual" w:hAnsi="Lucida Casual"/>
          <w:i/>
          <w:sz w:val="24"/>
        </w:rPr>
        <w:t xml:space="preserve"> Falls</w:t>
      </w:r>
    </w:p>
    <w:p w:rsidR="00000000" w:rsidRDefault="008618FE">
      <w:pPr>
        <w:rPr>
          <w:rFonts w:ascii="Lucida Casual" w:hAnsi="Lucida Casual"/>
          <w:b/>
          <w:sz w:val="28"/>
        </w:rPr>
      </w:pP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r>
        <w:rPr>
          <w:rFonts w:ascii="Lucida Casual" w:hAnsi="Lucida Casual"/>
          <w:i/>
          <w:sz w:val="24"/>
        </w:rPr>
        <w:tab/>
      </w:r>
      <w:proofErr w:type="spellStart"/>
      <w:r>
        <w:rPr>
          <w:rFonts w:ascii="Lucida Casual" w:hAnsi="Lucida Casual"/>
          <w:i/>
          <w:sz w:val="24"/>
        </w:rPr>
        <w:t>Kiritehere</w:t>
      </w:r>
      <w:proofErr w:type="spellEnd"/>
      <w:r>
        <w:rPr>
          <w:rFonts w:ascii="Lucida Casual" w:hAnsi="Lucida Casual"/>
          <w:i/>
          <w:sz w:val="24"/>
        </w:rPr>
        <w:t xml:space="preserve"> Beach</w:t>
      </w:r>
    </w:p>
    <w:tbl>
      <w:tblPr>
        <w:tblW w:w="0" w:type="auto"/>
        <w:tblLayout w:type="fixed"/>
        <w:tblLook w:val="0000"/>
      </w:tblPr>
      <w:tblGrid>
        <w:gridCol w:w="3030"/>
        <w:gridCol w:w="2275"/>
        <w:gridCol w:w="2275"/>
        <w:gridCol w:w="227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</w:tcPr>
          <w:p w:rsidR="00000000" w:rsidRDefault="008618FE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Analysis</w:t>
            </w:r>
          </w:p>
        </w:tc>
        <w:tc>
          <w:tcPr>
            <w:tcW w:w="6825" w:type="dxa"/>
            <w:gridSpan w:val="3"/>
          </w:tcPr>
          <w:p w:rsidR="00000000" w:rsidRDefault="008618FE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Description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618FE">
            <w:pPr>
              <w:pStyle w:val="BodyText2"/>
            </w:pPr>
            <w:r>
              <w:t>UNDESIRED EVENT(S)</w:t>
            </w:r>
          </w:p>
          <w:p w:rsidR="00000000" w:rsidRDefault="008618FE">
            <w:pPr>
              <w:jc w:val="center"/>
            </w:pPr>
            <w:r>
              <w:rPr>
                <w:rFonts w:ascii="Lucida Casual" w:hAnsi="Lucida Casual"/>
                <w:b/>
                <w:sz w:val="22"/>
              </w:rPr>
              <w:t>Accident, injury, other forms of damage</w:t>
            </w: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 xml:space="preserve">Injury </w:t>
            </w:r>
            <w:r w:rsidRPr="008618FE">
              <w:rPr>
                <w:sz w:val="22"/>
                <w:szCs w:val="22"/>
              </w:rPr>
              <w:t>from falling.</w:t>
            </w:r>
          </w:p>
          <w:p w:rsidR="00000000" w:rsidRPr="008618FE" w:rsidRDefault="008618F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Damage to natural resources</w:t>
            </w:r>
          </w:p>
          <w:p w:rsidR="00000000" w:rsidRPr="008618FE" w:rsidRDefault="008618FE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Insect bites</w:t>
            </w:r>
          </w:p>
          <w:p w:rsidR="00000000" w:rsidRPr="008618FE" w:rsidRDefault="008618FE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Drowning</w:t>
            </w:r>
          </w:p>
          <w:p w:rsidR="00000000" w:rsidRPr="008618FE" w:rsidRDefault="008618F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Motion/Car sickness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8618FE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jc w:val="center"/>
              <w:rPr>
                <w:sz w:val="22"/>
                <w:szCs w:val="22"/>
              </w:rPr>
            </w:pPr>
            <w:r w:rsidRPr="008618FE">
              <w:rPr>
                <w:b/>
                <w:sz w:val="22"/>
                <w:szCs w:val="22"/>
              </w:rPr>
              <w:t>People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jc w:val="center"/>
              <w:rPr>
                <w:sz w:val="22"/>
                <w:szCs w:val="22"/>
              </w:rPr>
            </w:pPr>
            <w:r w:rsidRPr="008618FE">
              <w:rPr>
                <w:b/>
                <w:sz w:val="22"/>
                <w:szCs w:val="22"/>
              </w:rPr>
              <w:t>Equipment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000000" w:rsidRPr="008618FE" w:rsidRDefault="008618FE">
            <w:pPr>
              <w:jc w:val="center"/>
              <w:rPr>
                <w:sz w:val="22"/>
                <w:szCs w:val="22"/>
              </w:rPr>
            </w:pPr>
            <w:r w:rsidRPr="008618FE">
              <w:rPr>
                <w:b/>
                <w:sz w:val="22"/>
                <w:szCs w:val="22"/>
              </w:rPr>
              <w:t>Environment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618FE">
            <w:pPr>
              <w:pStyle w:val="Heading1"/>
            </w:pPr>
            <w:r>
              <w:t>CAUSAL</w:t>
            </w: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FACTORS</w:t>
            </w: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pStyle w:val="BodyText"/>
              <w:numPr>
                <w:ilvl w:val="0"/>
                <w:numId w:val="9"/>
              </w:numPr>
              <w:rPr>
                <w:szCs w:val="22"/>
              </w:rPr>
            </w:pPr>
            <w:r w:rsidRPr="008618FE">
              <w:rPr>
                <w:szCs w:val="22"/>
              </w:rPr>
              <w:t>Poor behavioural management/communication  to the group about expectations</w:t>
            </w:r>
          </w:p>
          <w:p w:rsidR="00000000" w:rsidRPr="008618FE" w:rsidRDefault="008618FE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Peer pressure</w:t>
            </w:r>
          </w:p>
          <w:p w:rsidR="00000000" w:rsidRPr="008618FE" w:rsidRDefault="008618FE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Unfit students/adults</w:t>
            </w:r>
          </w:p>
          <w:p w:rsidR="00000000" w:rsidRPr="008618FE" w:rsidRDefault="008618FE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Undisclose</w:t>
            </w:r>
            <w:r w:rsidRPr="008618FE">
              <w:rPr>
                <w:sz w:val="22"/>
                <w:szCs w:val="22"/>
              </w:rPr>
              <w:t>d medication/illness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Unsuitable clothing/footwear (wet weather and dry)</w:t>
            </w:r>
          </w:p>
          <w:p w:rsidR="00000000" w:rsidRPr="008618FE" w:rsidRDefault="008618FE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No food or drink</w:t>
            </w:r>
          </w:p>
          <w:p w:rsidR="00000000" w:rsidRPr="008618FE" w:rsidRDefault="008618FE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 xml:space="preserve">Slippery surfaces/ tracks </w:t>
            </w:r>
          </w:p>
          <w:p w:rsidR="00000000" w:rsidRPr="008618FE" w:rsidRDefault="008618F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Incoming/ Outgoing tides</w:t>
            </w:r>
          </w:p>
          <w:p w:rsidR="00000000" w:rsidRPr="008618FE" w:rsidRDefault="008618F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 xml:space="preserve">Loose Rocks </w:t>
            </w:r>
          </w:p>
          <w:p w:rsidR="00000000" w:rsidRPr="008618FE" w:rsidRDefault="008618F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Katipo Spiders in grasses on sand dunes</w:t>
            </w:r>
          </w:p>
          <w:p w:rsidR="00000000" w:rsidRPr="008618FE" w:rsidRDefault="008618F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Windy road to the coast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jc w:val="center"/>
              <w:rPr>
                <w:sz w:val="22"/>
                <w:szCs w:val="22"/>
              </w:rPr>
            </w:pPr>
            <w:r w:rsidRPr="008618FE">
              <w:rPr>
                <w:b/>
                <w:sz w:val="22"/>
                <w:szCs w:val="22"/>
              </w:rPr>
              <w:t>Normal Operations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8618FE">
            <w:pPr>
              <w:pStyle w:val="Heading1"/>
            </w:pPr>
            <w:r>
              <w:t>RISK</w:t>
            </w: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 xml:space="preserve">MANAGEMENT </w:t>
            </w:r>
            <w:r>
              <w:rPr>
                <w:rFonts w:ascii="Lucida Casual" w:hAnsi="Lucida Casual"/>
                <w:b/>
                <w:sz w:val="28"/>
              </w:rPr>
              <w:t>STRATEGIES</w:t>
            </w:r>
          </w:p>
          <w:p w:rsidR="00000000" w:rsidRDefault="008618FE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Appropriate adult to student ratio – 1:7 (this does not include any time in the water otherwise it would need to be 1:4)</w:t>
            </w:r>
          </w:p>
          <w:p w:rsidR="00000000" w:rsidRPr="008618FE" w:rsidRDefault="008618FE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Clear briefing to parents and students (see later notes)</w:t>
            </w:r>
          </w:p>
          <w:p w:rsidR="00000000" w:rsidRPr="008618FE" w:rsidRDefault="008618FE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List of medical conditions and any essential medication (held by t</w:t>
            </w:r>
            <w:r w:rsidRPr="008618FE">
              <w:rPr>
                <w:sz w:val="22"/>
                <w:szCs w:val="22"/>
              </w:rPr>
              <w:t>eacher and first aider).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First aid kit carried with group.</w:t>
            </w:r>
          </w:p>
          <w:p w:rsidR="00000000" w:rsidRPr="008618FE" w:rsidRDefault="008618FE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Emergency support vehicle taken down the beach (four wheel drive) with food and drink supplies</w:t>
            </w:r>
          </w:p>
          <w:p w:rsidR="00000000" w:rsidRPr="008618FE" w:rsidRDefault="008618FE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 xml:space="preserve">Cell phone coverage from the top of the hill between </w:t>
            </w:r>
            <w:proofErr w:type="spellStart"/>
            <w:r w:rsidRPr="008618FE">
              <w:rPr>
                <w:sz w:val="22"/>
                <w:szCs w:val="22"/>
              </w:rPr>
              <w:t>Kiritehere</w:t>
            </w:r>
            <w:proofErr w:type="spellEnd"/>
            <w:r w:rsidRPr="008618FE">
              <w:rPr>
                <w:sz w:val="22"/>
                <w:szCs w:val="22"/>
              </w:rPr>
              <w:t xml:space="preserve"> Beach and </w:t>
            </w:r>
            <w:proofErr w:type="spellStart"/>
            <w:r w:rsidRPr="008618FE">
              <w:rPr>
                <w:sz w:val="22"/>
                <w:szCs w:val="22"/>
              </w:rPr>
              <w:t>Marokopa</w:t>
            </w:r>
            <w:proofErr w:type="spellEnd"/>
            <w:r w:rsidRPr="008618FE">
              <w:rPr>
                <w:sz w:val="22"/>
                <w:szCs w:val="22"/>
              </w:rPr>
              <w:t>, First Aid post (Ai</w:t>
            </w:r>
            <w:r w:rsidRPr="008618FE">
              <w:rPr>
                <w:sz w:val="22"/>
                <w:szCs w:val="22"/>
              </w:rPr>
              <w:t xml:space="preserve">lsa Mitchell), public telephone and toilets at the </w:t>
            </w:r>
            <w:proofErr w:type="spellStart"/>
            <w:r w:rsidRPr="008618FE">
              <w:rPr>
                <w:sz w:val="22"/>
                <w:szCs w:val="22"/>
              </w:rPr>
              <w:t>Marokopa</w:t>
            </w:r>
            <w:proofErr w:type="spellEnd"/>
            <w:r w:rsidRPr="008618FE">
              <w:rPr>
                <w:sz w:val="22"/>
                <w:szCs w:val="22"/>
              </w:rPr>
              <w:t xml:space="preserve"> Beach front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Slow driving speed on the road to the coast</w:t>
            </w:r>
          </w:p>
          <w:p w:rsidR="00000000" w:rsidRPr="008618FE" w:rsidRDefault="008618FE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Organise students into small groups walking at the pace of the slowest person in the group.</w:t>
            </w:r>
          </w:p>
          <w:p w:rsidR="00000000" w:rsidRPr="008618FE" w:rsidRDefault="008618FE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proofErr w:type="spellStart"/>
            <w:r w:rsidRPr="008618FE">
              <w:rPr>
                <w:sz w:val="22"/>
                <w:szCs w:val="22"/>
              </w:rPr>
              <w:t>Kiritehere</w:t>
            </w:r>
            <w:proofErr w:type="spellEnd"/>
            <w:r w:rsidRPr="008618FE">
              <w:rPr>
                <w:sz w:val="22"/>
                <w:szCs w:val="22"/>
              </w:rPr>
              <w:t xml:space="preserve"> walk at low tide</w:t>
            </w:r>
          </w:p>
          <w:p w:rsidR="00000000" w:rsidRPr="008618FE" w:rsidRDefault="008618FE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Ensure students have</w:t>
            </w:r>
            <w:r w:rsidRPr="008618FE">
              <w:rPr>
                <w:sz w:val="22"/>
                <w:szCs w:val="22"/>
              </w:rPr>
              <w:t xml:space="preserve"> sturdy footwear when walking on the rock fall</w:t>
            </w:r>
          </w:p>
          <w:p w:rsidR="00000000" w:rsidRPr="008618FE" w:rsidRDefault="008618FE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Check for spiders in gear/clothing and stay out of sand dunes and large piles of driftwood.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pStyle w:val="Heading2"/>
              <w:rPr>
                <w:rFonts w:ascii="Times New Roman" w:hAnsi="Times New Roman"/>
                <w:szCs w:val="22"/>
              </w:rPr>
            </w:pPr>
            <w:r w:rsidRPr="008618FE">
              <w:rPr>
                <w:rFonts w:ascii="Times New Roman" w:hAnsi="Times New Roman"/>
                <w:szCs w:val="22"/>
              </w:rPr>
              <w:t>Emergency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/>
        </w:tc>
        <w:tc>
          <w:tcPr>
            <w:tcW w:w="6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8618FE" w:rsidRDefault="008618FE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First aid kit and teacher/adult trained in administering first aid.</w:t>
            </w:r>
          </w:p>
          <w:p w:rsidR="00000000" w:rsidRPr="008618FE" w:rsidRDefault="008618FE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Parents/students report any in</w:t>
            </w:r>
            <w:r w:rsidRPr="008618FE">
              <w:rPr>
                <w:sz w:val="22"/>
                <w:szCs w:val="22"/>
              </w:rPr>
              <w:t>jury/accident or near injury to the teacher immediately.</w:t>
            </w:r>
          </w:p>
          <w:p w:rsidR="00000000" w:rsidRPr="008618FE" w:rsidRDefault="008618FE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Teacher co-ordinates emergency procedures; sending a parent with an emergency vehicle to contact emergency services whilst injured party is given first aid and the remaining students are cared for by</w:t>
            </w:r>
            <w:r w:rsidRPr="008618FE">
              <w:rPr>
                <w:sz w:val="22"/>
                <w:szCs w:val="22"/>
              </w:rPr>
              <w:t xml:space="preserve"> the teacher (</w:t>
            </w:r>
            <w:proofErr w:type="spellStart"/>
            <w:r w:rsidRPr="008618FE">
              <w:rPr>
                <w:sz w:val="22"/>
                <w:szCs w:val="22"/>
              </w:rPr>
              <w:t>whereever</w:t>
            </w:r>
            <w:proofErr w:type="spellEnd"/>
            <w:r w:rsidRPr="008618FE">
              <w:rPr>
                <w:sz w:val="22"/>
                <w:szCs w:val="22"/>
              </w:rPr>
              <w:t xml:space="preserve"> possible remove other students and adults to a safe area to minimise stress on them and the injured party).</w:t>
            </w:r>
          </w:p>
          <w:p w:rsidR="00000000" w:rsidRPr="008618FE" w:rsidRDefault="008618FE">
            <w:pPr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 xml:space="preserve">Emergency first aid post at </w:t>
            </w:r>
            <w:proofErr w:type="spellStart"/>
            <w:r w:rsidRPr="008618FE">
              <w:rPr>
                <w:sz w:val="22"/>
                <w:szCs w:val="22"/>
              </w:rPr>
              <w:t>Marokopa</w:t>
            </w:r>
            <w:proofErr w:type="spellEnd"/>
            <w:r w:rsidRPr="008618FE">
              <w:rPr>
                <w:sz w:val="22"/>
                <w:szCs w:val="22"/>
              </w:rPr>
              <w:t xml:space="preserve"> Beach.</w:t>
            </w:r>
          </w:p>
        </w:tc>
      </w:tr>
    </w:tbl>
    <w:p w:rsidR="00000000" w:rsidRDefault="008618FE"/>
    <w:p w:rsidR="00000000" w:rsidRDefault="008618FE"/>
    <w:tbl>
      <w:tblPr>
        <w:tblW w:w="0" w:type="auto"/>
        <w:tblLayout w:type="fixed"/>
        <w:tblLook w:val="0000"/>
      </w:tblPr>
      <w:tblGrid>
        <w:gridCol w:w="2943"/>
        <w:gridCol w:w="2304"/>
        <w:gridCol w:w="2304"/>
        <w:gridCol w:w="230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618FE">
            <w:pPr>
              <w:pStyle w:val="BodyText2"/>
            </w:pPr>
            <w:r>
              <w:lastRenderedPageBreak/>
              <w:t>RELEVANT INDUSTRY STANDARDS APPLICABLE</w:t>
            </w: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Pr="008618FE" w:rsidRDefault="008618FE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  <w:proofErr w:type="spellStart"/>
            <w:r w:rsidRPr="008618FE">
              <w:rPr>
                <w:sz w:val="22"/>
                <w:szCs w:val="22"/>
              </w:rPr>
              <w:t>M</w:t>
            </w:r>
            <w:r w:rsidRPr="008618FE">
              <w:rPr>
                <w:sz w:val="22"/>
                <w:szCs w:val="22"/>
              </w:rPr>
              <w:t>arokopa</w:t>
            </w:r>
            <w:proofErr w:type="spellEnd"/>
            <w:r w:rsidRPr="008618FE">
              <w:rPr>
                <w:sz w:val="22"/>
                <w:szCs w:val="22"/>
              </w:rPr>
              <w:t xml:space="preserve"> Falls and the </w:t>
            </w:r>
            <w:proofErr w:type="spellStart"/>
            <w:r w:rsidRPr="008618FE">
              <w:rPr>
                <w:sz w:val="22"/>
                <w:szCs w:val="22"/>
              </w:rPr>
              <w:t>Mangapohue</w:t>
            </w:r>
            <w:proofErr w:type="spellEnd"/>
            <w:r w:rsidRPr="008618FE">
              <w:rPr>
                <w:sz w:val="22"/>
                <w:szCs w:val="22"/>
              </w:rPr>
              <w:t xml:space="preserve"> Natural Bridge walkways are maintained by the Department of Conservation and are compliant with current NZ codes covering structural safety.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618FE">
            <w:pPr>
              <w:pStyle w:val="BodyText2"/>
            </w:pPr>
            <w:r>
              <w:t>POLICIES AND GU</w:t>
            </w:r>
            <w:r>
              <w:t>IDELINES RECOMMENDED</w:t>
            </w: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Pr="008618FE" w:rsidRDefault="008618FE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Disclosure of me</w:t>
            </w:r>
            <w:r w:rsidRPr="008618FE">
              <w:rPr>
                <w:sz w:val="22"/>
                <w:szCs w:val="22"/>
              </w:rPr>
              <w:t>dical problems in the group and medication needs to the teacher and person in charge of first aid (teacher to have class list and pre-signed consent forms from parents/caregivers to allow emergency services to attend to students).</w:t>
            </w:r>
          </w:p>
          <w:p w:rsidR="00000000" w:rsidRPr="008618FE" w:rsidRDefault="008618FE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S</w:t>
            </w:r>
            <w:r w:rsidRPr="008618FE">
              <w:rPr>
                <w:sz w:val="22"/>
                <w:szCs w:val="22"/>
              </w:rPr>
              <w:t xml:space="preserve">helter and appropriate toileting facilities available at </w:t>
            </w:r>
            <w:proofErr w:type="spellStart"/>
            <w:r w:rsidRPr="008618FE">
              <w:rPr>
                <w:sz w:val="22"/>
                <w:szCs w:val="22"/>
              </w:rPr>
              <w:t>Marokopa</w:t>
            </w:r>
            <w:proofErr w:type="spellEnd"/>
            <w:r w:rsidRPr="008618FE">
              <w:rPr>
                <w:sz w:val="22"/>
                <w:szCs w:val="22"/>
              </w:rPr>
              <w:t xml:space="preserve"> and </w:t>
            </w:r>
            <w:proofErr w:type="spellStart"/>
            <w:r w:rsidRPr="008618FE">
              <w:rPr>
                <w:sz w:val="22"/>
                <w:szCs w:val="22"/>
              </w:rPr>
              <w:t>Kiritehere</w:t>
            </w:r>
            <w:proofErr w:type="spellEnd"/>
            <w:r w:rsidRPr="008618FE">
              <w:rPr>
                <w:sz w:val="22"/>
                <w:szCs w:val="22"/>
              </w:rPr>
              <w:t xml:space="preserve"> Beaches.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618FE">
            <w:pPr>
              <w:pStyle w:val="BodyText2"/>
            </w:pPr>
            <w:r>
              <w:t>SKILLS REQUIRED BY STAFF</w:t>
            </w: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Pr="008618FE" w:rsidRDefault="008618F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Clear communication with adults and students to set boundaries, expectations and to car</w:t>
            </w:r>
            <w:r w:rsidRPr="008618FE">
              <w:rPr>
                <w:sz w:val="22"/>
                <w:szCs w:val="22"/>
              </w:rPr>
              <w:t xml:space="preserve">ry out risk </w:t>
            </w:r>
            <w:proofErr w:type="spellStart"/>
            <w:r w:rsidRPr="008618FE">
              <w:rPr>
                <w:sz w:val="22"/>
                <w:szCs w:val="22"/>
              </w:rPr>
              <w:t>managaement</w:t>
            </w:r>
            <w:proofErr w:type="spellEnd"/>
            <w:r w:rsidRPr="008618FE">
              <w:rPr>
                <w:sz w:val="22"/>
                <w:szCs w:val="22"/>
              </w:rPr>
              <w:t xml:space="preserve"> strategies.</w:t>
            </w:r>
          </w:p>
          <w:p w:rsidR="00000000" w:rsidRPr="008618FE" w:rsidRDefault="008618F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A signal used by adults in an emergency (eg whistle blow from lead parent/last parent to halt group).</w:t>
            </w:r>
          </w:p>
          <w:p w:rsidR="00000000" w:rsidRPr="008618FE" w:rsidRDefault="008618F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spellStart"/>
            <w:r w:rsidRPr="008618FE">
              <w:rPr>
                <w:sz w:val="22"/>
                <w:szCs w:val="22"/>
              </w:rPr>
              <w:t>Consistant</w:t>
            </w:r>
            <w:proofErr w:type="spellEnd"/>
            <w:r w:rsidRPr="008618FE">
              <w:rPr>
                <w:sz w:val="22"/>
                <w:szCs w:val="22"/>
              </w:rPr>
              <w:t xml:space="preserve"> behavioural management techniques used.</w:t>
            </w:r>
          </w:p>
          <w:p w:rsidR="00000000" w:rsidRPr="008618FE" w:rsidRDefault="008618F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8618FE">
              <w:rPr>
                <w:sz w:val="22"/>
                <w:szCs w:val="22"/>
              </w:rPr>
              <w:t>Continual environmental assessment.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  <w:sz w:val="22"/>
              </w:rPr>
            </w:pPr>
            <w:r>
              <w:rPr>
                <w:rFonts w:ascii="Lucida Casual" w:hAnsi="Lucida Casual"/>
                <w:b/>
                <w:sz w:val="22"/>
              </w:rPr>
              <w:t>Choose One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</w:rPr>
            </w:pPr>
            <w:r>
              <w:rPr>
                <w:rFonts w:ascii="Lucida Casual" w:hAnsi="Lucida Casual"/>
                <w:b/>
              </w:rPr>
              <w:t>Accept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8618FE">
            <w:pPr>
              <w:rPr>
                <w:rFonts w:ascii="Lucida Casual" w:hAnsi="Lucida Casua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</w:rPr>
            </w:pPr>
            <w:r>
              <w:rPr>
                <w:rFonts w:ascii="Lucida Casual" w:hAnsi="Lucida Casual"/>
                <w:b/>
              </w:rPr>
              <w:t>Reject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8618FE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FINAL DECISION ON IMPLEMENTING ACTIVITY</w:t>
            </w:r>
          </w:p>
          <w:p w:rsidR="00000000" w:rsidRDefault="008618FE" w:rsidP="008618FE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6911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8618FE">
            <w:pPr>
              <w:rPr>
                <w:rFonts w:ascii="Lucida Casual" w:hAnsi="Lucida Casual"/>
              </w:rPr>
            </w:pPr>
            <w:r>
              <w:rPr>
                <w:rFonts w:ascii="Lucida Casual" w:hAnsi="Lucida Casual"/>
                <w:b/>
                <w:sz w:val="22"/>
              </w:rPr>
              <w:t>Comments:</w:t>
            </w:r>
          </w:p>
          <w:p w:rsidR="00000000" w:rsidRDefault="008618FE">
            <w:pPr>
              <w:rPr>
                <w:rFonts w:ascii="Lucida Casual" w:hAnsi="Lucida Casual"/>
              </w:rPr>
            </w:pPr>
          </w:p>
          <w:p w:rsidR="00000000" w:rsidRDefault="008618FE">
            <w:pPr>
              <w:rPr>
                <w:rFonts w:ascii="Lucida Casual" w:hAnsi="Lucida Casual"/>
              </w:rPr>
            </w:pPr>
          </w:p>
        </w:tc>
      </w:tr>
    </w:tbl>
    <w:p w:rsidR="00000000" w:rsidRDefault="008618FE">
      <w:pPr>
        <w:rPr>
          <w:rFonts w:ascii="Lucida Casual" w:hAnsi="Lucida Casual"/>
        </w:rPr>
      </w:pPr>
    </w:p>
    <w:sectPr w:rsidR="00000000" w:rsidSect="008618FE">
      <w:headerReference w:type="default" r:id="rId8"/>
      <w:pgSz w:w="11907" w:h="16840"/>
      <w:pgMar w:top="624" w:right="1134" w:bottom="998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8FE" w:rsidRDefault="008618FE" w:rsidP="008618FE">
      <w:r>
        <w:separator/>
      </w:r>
    </w:p>
  </w:endnote>
  <w:endnote w:type="continuationSeparator" w:id="0">
    <w:p w:rsidR="008618FE" w:rsidRDefault="008618FE" w:rsidP="00861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8FE" w:rsidRDefault="008618FE" w:rsidP="008618FE">
      <w:r>
        <w:separator/>
      </w:r>
    </w:p>
  </w:footnote>
  <w:footnote w:type="continuationSeparator" w:id="0">
    <w:p w:rsidR="008618FE" w:rsidRDefault="008618FE" w:rsidP="00861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8FE" w:rsidRDefault="008618FE">
    <w:pPr>
      <w:pStyle w:val="Header"/>
    </w:pPr>
    <w:r>
      <w:ptab w:relativeTo="margin" w:alignment="right" w:leader="none"/>
    </w:r>
    <w:r>
      <w:t>Last updated July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422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">
    <w:nsid w:val="040326D4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2">
    <w:nsid w:val="0AF745FE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3">
    <w:nsid w:val="17BB274C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4">
    <w:nsid w:val="1FFF23F6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5">
    <w:nsid w:val="29C80B36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6">
    <w:nsid w:val="2CDB054A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7">
    <w:nsid w:val="37740CD0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8">
    <w:nsid w:val="40496EEF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9">
    <w:nsid w:val="408F6788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0">
    <w:nsid w:val="489E2378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1">
    <w:nsid w:val="4A624741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2">
    <w:nsid w:val="4AEA3F2E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3">
    <w:nsid w:val="4C5D5876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4">
    <w:nsid w:val="4DB022BF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5">
    <w:nsid w:val="4EB36649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6">
    <w:nsid w:val="5354085F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7">
    <w:nsid w:val="54AC0B74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8">
    <w:nsid w:val="5A953F8A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19">
    <w:nsid w:val="5E053BA4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20">
    <w:nsid w:val="6A947CD5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21">
    <w:nsid w:val="714F2198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22">
    <w:nsid w:val="7AE92002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23">
    <w:nsid w:val="7BA36AE9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abstractNum w:abstractNumId="24">
    <w:nsid w:val="7E845E5D"/>
    <w:multiLevelType w:val="singleLevel"/>
    <w:tmpl w:val="C50E56C8"/>
    <w:lvl w:ilvl="0">
      <w:start w:val="1"/>
      <w:numFmt w:val="bullet"/>
      <w:lvlText w:val=""/>
      <w:lvlJc w:val="left"/>
      <w:pPr>
        <w:tabs>
          <w:tab w:val="num" w:pos="360"/>
        </w:tabs>
        <w:ind w:left="57" w:hanging="57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5"/>
  </w:num>
  <w:num w:numId="5">
    <w:abstractNumId w:val="10"/>
  </w:num>
  <w:num w:numId="6">
    <w:abstractNumId w:val="21"/>
  </w:num>
  <w:num w:numId="7">
    <w:abstractNumId w:val="1"/>
  </w:num>
  <w:num w:numId="8">
    <w:abstractNumId w:val="19"/>
  </w:num>
  <w:num w:numId="9">
    <w:abstractNumId w:val="16"/>
  </w:num>
  <w:num w:numId="10">
    <w:abstractNumId w:val="18"/>
  </w:num>
  <w:num w:numId="11">
    <w:abstractNumId w:val="11"/>
  </w:num>
  <w:num w:numId="12">
    <w:abstractNumId w:val="8"/>
  </w:num>
  <w:num w:numId="13">
    <w:abstractNumId w:val="3"/>
  </w:num>
  <w:num w:numId="14">
    <w:abstractNumId w:val="12"/>
  </w:num>
  <w:num w:numId="15">
    <w:abstractNumId w:val="22"/>
  </w:num>
  <w:num w:numId="16">
    <w:abstractNumId w:val="4"/>
  </w:num>
  <w:num w:numId="17">
    <w:abstractNumId w:val="13"/>
  </w:num>
  <w:num w:numId="18">
    <w:abstractNumId w:val="23"/>
  </w:num>
  <w:num w:numId="19">
    <w:abstractNumId w:val="9"/>
  </w:num>
  <w:num w:numId="20">
    <w:abstractNumId w:val="2"/>
  </w:num>
  <w:num w:numId="21">
    <w:abstractNumId w:val="20"/>
  </w:num>
  <w:num w:numId="22">
    <w:abstractNumId w:val="17"/>
  </w:num>
  <w:num w:numId="23">
    <w:abstractNumId w:val="0"/>
  </w:num>
  <w:num w:numId="24">
    <w:abstractNumId w:val="24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8FE"/>
    <w:rsid w:val="0086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Lucida Casual" w:hAnsi="Lucida Casual"/>
      <w:b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Lucida Casual" w:hAnsi="Lucida Casual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2"/>
    </w:rPr>
  </w:style>
  <w:style w:type="paragraph" w:styleId="BodyText2">
    <w:name w:val="Body Text 2"/>
    <w:basedOn w:val="Normal"/>
    <w:semiHidden/>
    <w:pPr>
      <w:jc w:val="center"/>
    </w:pPr>
    <w:rPr>
      <w:rFonts w:ascii="Lucida Casual" w:hAnsi="Lucida Casual"/>
      <w:b/>
      <w:sz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8618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18FE"/>
    <w:rPr>
      <w:rFonts w:ascii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618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18FE"/>
    <w:rPr>
      <w:rFonts w:ascii="Times New Roman" w:hAnsi="Times New Roman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7C104-6764-4563-8971-C6BE07A49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2</cp:revision>
  <cp:lastPrinted>2003-10-29T21:49:00Z</cp:lastPrinted>
  <dcterms:created xsi:type="dcterms:W3CDTF">2010-07-28T01:10:00Z</dcterms:created>
  <dcterms:modified xsi:type="dcterms:W3CDTF">2010-07-28T01:10:00Z</dcterms:modified>
</cp:coreProperties>
</file>